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ПРИЛОЖЕНИЕ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 постановлению Правительства Новосибирской области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_____________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ind w:firstLine="708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ind w:firstLine="708"/>
        <w:jc w:val="center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Порядок проведения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предварительной оценки проектов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в целях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включения их в заявку Новосибирской области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на участие в отборе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14:ligatures w14:val="none"/>
        </w:rPr>
      </w:r>
    </w:p>
    <w:p>
      <w:pPr>
        <w:ind w:left="0" w:right="0" w:firstLine="709"/>
        <w:jc w:val="both"/>
        <w:spacing w:before="0" w:after="0" w:line="240" w:lineRule="auto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1. 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Настоящий Порядок определяет процедуру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проведения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предварительной оценки проектов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 созданию и (или) развитию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в целях создания и (или) развития производственных и инновационных компаний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на территории Новосибирской области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(далее - проект) на соответствие критериям оценки, предусмотренным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приложением № 48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«Правила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предоставления и распределения субсидий из федерального бюджета бюджетам субъектов Российской Федерации на государствен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ную поддержку малого и среднего предпринимательства в субъектах Российской Федерации» к государственной программе Российской Федерации «Экономическое развитие и инновационная экономика», утвержденной постановлением Правительства Российской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Федерации от 15.04.2014 № 316 «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б утверждении государственной программы Российской Федерации «Э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кономическое развитие и инновационная экономика» (далее соответственно -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предварительная оценка проектов, </w:t>
      </w:r>
      <w:r/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Правила), для включения в заявку Новосибирской области на участие в отборе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(далее - субсидии).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left="0" w:right="0" w:firstLine="709"/>
        <w:jc w:val="both"/>
        <w:spacing w:before="0" w:after="0" w:line="240" w:lineRule="auto"/>
        <w:rPr>
          <w:rFonts w:ascii="Arial" w:hAnsi="Arial" w:eastAsia="Arial" w:cs="Arial"/>
          <w:b w:val="0"/>
          <w:bCs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2. 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онятия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«проект»,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бизнес-парк»,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резидент (потенциальный резидент)</w:t>
      </w:r>
      <w:r>
        <w:rPr>
          <w:color w:val="000000" w:themeColor="text1"/>
        </w:rPr>
        <w:t xml:space="preserve">»,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технопарк»,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индустриальный (промышленный) парк»,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промышленный технопарк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», «управляющая компания», используемые в настоящем Порядке, применяются в том же значении, в каком они используются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Правилах.</w:t>
      </w:r>
      <w:r>
        <w:rPr>
          <w:rFonts w:ascii="Arial" w:hAnsi="Arial" w:eastAsia="Arial" w:cs="Arial"/>
          <w:b w:val="0"/>
          <w:bCs w:val="0"/>
          <w:i w:val="0"/>
          <w:strike w:val="0"/>
          <w:color w:val="000000" w:themeColor="text1"/>
          <w:sz w:val="18"/>
          <w:szCs w:val="18"/>
        </w:rPr>
      </w:r>
      <w:r>
        <w:rPr>
          <w:rFonts w:ascii="Arial" w:hAnsi="Arial" w:eastAsia="Arial" w:cs="Arial"/>
          <w:b w:val="0"/>
          <w:bCs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3. Организатором предварительной оценки проектов является министерство промышленности, торговли и развития предпринимательства Новосибирской области (далее – Министерство),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которое распоряжением Правительства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 22.12.2020 № 595-рп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определено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уполномоченным органом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взаимодействие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 Министерством экономического развития Российской Федерации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реализации мероприятий государственной поддержки малого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 среднего предпринимательства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ligatures w14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4. Министерство не позднее дня, предшествующего дню начала приема заявок на предварительную оценку проектов, размещает на официальном сайте Министерства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в информационно-телекоммуникационной сети «Интернет» извещение о проведении предварительной оценки проектов, содержащее следующие сведения: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наименование, местонахождение, почтовый адрес, контактные данные (телефон, адрес электронной почты) Министерства;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дата и время начала и окончания приема заявок;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перечень документов, представляемых  для участия в предварительной оценке проектов;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порядок подачи заявки, требования к форме и содержанию заявки;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порядок отзыва заявки;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порядок рассмотрения и оценки заявки;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срок подведения итогов предварительной оценки проектов;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дата размещения информации о результатах предварительной оценки проектов на сайте Министерства.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5. Прием заявок осуществляется Министерством в течение не менее 5 рабочих дней со дня начала приема заявок, указанного в извещении.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18"/>
          <w:szCs w:val="1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18"/>
          <w:szCs w:val="18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6. Для участия в предварительной оценке проектов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управляющая компания индустриального (промышленного) парка, агропромышленного парка, бизнес-парка, технопарка, промышленного технопарка (далее - управляющая компания) представляет в Министерство заявку на участие в предварительной оценке проектов по форме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согласно приложению № 1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к Порядку (далее - заявка). 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К заявке должна быть приложены документы, обосновывающие целесообразность создания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, перечень которых определен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приложением № 2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к Порядку (далее – документы).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7. Заявка и документы представляются в Министерство на бумажном носителе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с сопроводительным письмом, подписанным руководителем управляющей компании (с заверенной копией решения о назначении или об избрании). В случае подписания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сопроводительного письма представителем также представляется доверенность на осуществление действий, подписанная руководителем управляющей компании и заверенная печатью (при наличии), либо нотариально удостоверенная копия такой доверенности.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Заявка и документы должны быть пронумерованы, прошиты и скреплены подписью руководителя управляющей компании и печатью (при наличии), а также содержать оглавление с указанием наименования документов и соответствующих им номеров страниц.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Первой подшивается заявка.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8. 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Управляющая компания имеет право отозвать поданную заявку до истечения установленного срока приема заявок, указанного в извещении, направив в Министерство официальное письменное уведомление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9. Внесение изменений в заявку и документы допускается путем отзыва ранее поданной заявки и направления новой заявки в пределах установленного срока приема заявок.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10. Представленные заявка и документы возврату не подлежат.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11. Заявки, поданные по истечении указанного в извещении срока приема заявок, не принимаются и не рассматриваются.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12. Управляющая компания на дату подачи заявки должна соответствовать следующим требованиям: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1) управляющей компанией является юридическое лицо, действующее в форме хозяйственного общества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(или автономной некоммерческой организации в случае агропромышленного парка);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2) управляющая компания зарегистрирована и осуществляет в соответствии со своими учредительными документами деятельность на территории Новосибирской области;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3)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Российская Федерация, субъект Российской Федерации и (или) муниципальное образование не участвуют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в уставном капитале управляющей компании-хозяйственного общества или не являются учредителем управляющей компании-некоммерческой организации;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4) управляющая компани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я распоряжается на праве собственности или на ином законном основании земельными участками, составляющими территорию парка, и (или) зданиями, строениями и (или) их частями, расположенными на территории парка, и (или) объектами промышленной инфраструктуры 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 технологической инфраструктуры парка, за исключением земельных участков, зданий, строений и (или) их частей, а также объектов транспортной и коммунальной инфраструктуры, принадлежащих на праве собственности или на ином законном основании резидентам парка.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5) в отношении управляющей компании не введена процедура банкротства, деятельность управляющей компании не приостановлена в порядке, предусмотренном законодательством Российской Федерации;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6) управляющая компания не находится в процессе реорганизации (за исключением реорганизации в форме присоединения к управляющей компании другого юридического лица), ликвидации, в отношении управляющей ко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мпании не введена процедура банкротства, деятельность управляющей компании не приостановлена в порядке, предусмотренном законодательством Российской Федерации;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7) управляющая ком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пания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включенная в утверждё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), в совокупности превышает 50 процентов;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8) в реестре дисквалифицированных лиц отсутствуют сведения о дисквалиф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управляющей компании;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9) управляющая компания не должна находиться в перечне организаций и физичес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ия.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13. Требования, предъявляемые к проектам при проведении предварительной оценки проектов: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1) доля подтвержденного внебюджетного (частного) софинансирования проекта по созданию и (или) развитию парка в его общей стоимости - не менее 30 процентов;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2) количество резидентов (потенциальных резидентов), размещенных (планирующихся к размещению) на 10-й год со дня ввода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индустриального (промышленного) парка, агропромышленного парка, бизнес-парка, технопарка, промышленного технопарка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 в эксплуатацию, - не менее 12 единиц;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3) наличие технологического присоединения (подключения)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к объектам электро-, газо-, тепло-, водоснабжения, водоотведения и линиям связи;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) доступность транспортной инфраструктуры (технологического комплекса, обеспечивающего функционирование объектов транспортной сети или путей сообщения (дорог, железнодорожных путей, воздушных коридоров, водных путей, мостов, тоннелей, автомобильных останов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ок, железнодорожных станций, аэропортов, портов);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5) наличие документально подтвержденного взаимодействия резидентов (потенциальных резидентов)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индустриального (промышленного) парка, агропромышленного парка, бизнес-парка, технопарка, промышленного технопарка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между собой;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6)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срок реализации проекта за счет средств субсидии не превышает двух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 лет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7)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площадь индустриального (промышленного) парка, агропромышленного парка,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созданного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ранее не застроенном земельном участке (участках), не обеспеч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енном инженерной инфраструктурой (комплекс зданий, сооружений, объектов водоснабжения, водоотведения, газоснабжения, телекоммуникаций, теплоснабжения и электроснабжения, обеспечивающий функционирование парка, его резидентов и пользователей инфраструктуры)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 транспортной инфраструктурой (технологический комплекс, обеспе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чивающий функционирование объектов транспортной сети или путей сообщения (дорог, железнодорожных путей, воздушных коридоров, водных путей, мостов, тоннелей, автомобильных остановок, железнодорожных станций, аэропортов, портов), должна составлять не менее 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0 000 кв. метров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территории земельного участка;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Площадь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индустриального (промышленного) парка, агропромышленного парка,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созданного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основе ране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 существовавших производственных площадок, промышленных и производственных объектов, обеспеченных инженерной и транспортной инфраструктурой, должна составлять не менее 20 000 кв. метров производственных площадей, предназначенных для размещения резидентов;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8) площадь помещений технопарка, промышленного технопарка должна составлять не менее 5 000 кв. метров, а площадь территории земельного участка – не менее 10 000 кв. 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етров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Плотность застройки терри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тории технопарка, промышленного технопарка, определяемая как отношение площади всех этажей зданий и сооружений технопарка, промышленного технопарка к общей площади территории технопарка, промышленного технопарка, должная составлять не менее 2 000 кв. м/га.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Не менее 70% арендопригодных площадей технопарка, промышленного технопарка должны быть предназначены для резидентов, осуществляющих деятельность, относящуюся к обрабатывающему производству, или нау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чным исследованиям и разработкам, или техническим испытаниям, исследованиям, анализу и сертификации, или деятельности в области информации и связи, разработки компьютерного программного обеспечения, или профессиональной, научной и технической деятельности;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9) площадь бизнес-парка, созданного на ранее не застроенном земельном участке (участках), не обеспеченном инженерной инфраструктурой (комплекс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зданий, сооружений, объектов водоснабжения, водоотведения, газоснаб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жения, телекоммуникаций, теплоснабжения и электроснабжения, обеспечивающий функционирование парка, его резидентов и пользователей инфраструктуры) и транспортной инфраструктуры (технологический комплекс, обеспечивающий функционирование объектов транспортной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сети или путей сообщения (дорог, железнодорожных путей, воздушных коридоров, водных путей, мостов, тоннелей, автомобильных остановок, железнодорожных станций, аэропортов, портов), должна составлять не более 80 000 кв. метров территории земельного участка.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Площадь бизнес-парка, созданного на основе ранее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существовавших производственных площадок, промышленных и производственных объектов, обеспеченных инженерной и транспортной инфраструктурой, должна составлять не более 20 000 кв. метров производственных площадей, предназначенных для разм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ещения резидентов;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10)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 реализации проекта не планируются расходы, совпадающие по форме, срокам и виду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 расходами, осуществленными субъектом Российской Федерации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соответствии с Правилами отбора субъектов Российской Федерации, имеющих право на получение государственной поддержки в форме субсидий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из федерального бюджета бюджетам субъектов Российской Федерации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 возмещение части за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трат на создание, модернизацию и (или) реконструкцию объектов инфраструктуры индустриальных парков, промышленных технопарков, технопарков в сфере высоких технологий, особых экономических зон, утвержденными постановлением Правительства Российской Федерации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 30.10.2014 № 1119, и (или) Правилами предоставления субсидий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из федерального бюджета российским организациям – управляющим компаниям индустриальных (промышленных) парков и (или) промышленных технопарков на возмещение части затрат на уплату процентов по кредитам, полученным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в российских кредитных организациях и государственной корпорации «ВЭБ.РФ» в 2020 - 2022 годах на реализацию инвестиционных проектов создания, расширения или развития индустриальных (промышленных) парков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 (или) про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мышленных технопарков, утвержденными постановлением Правительства Российской Федерации от 11.08.2015 № 831, а также Правилами предоставления субсидий из федерального бюджета бюджетам субъектов Российской Федерации в целях софинансирования расходных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обязательств субъектов Российской Федерации по возмещению части затрат управляющих компаний индустриальных (промышленных) парков, промышленных технопарков, технопарков в сфере высоких технологий частной формы собственности на создание, увеличение площади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или реиндустриализацию индустриальных (промышленных) парков, промышленных технопарков, технопарков в сфере высоких технологий, приведенными в приложении № 18 к государственной программе Российской Федерации «Развитие промышленности и повышение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ее конкурентоспособности», утвержденной постановлением Правительства Российской Федерации от 15.04.2014 № 328.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Несоответствие требованиям, указанным в подпунктах 3-5 настоящего пункта, не является основанием для принятия решения об отказе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во включ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ении проекта в заявку Новосибирской области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 на участие в отборе субъектов Российской Федерации для предоставления субсидий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(далее – заявка Новосибирской области).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14. 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В целях осуществления предварительной оценки проектов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создается рабочая группа по проведению предв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арительной оценки проектов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(далее - рабочая группа), состав которой утверждается приказом Министерства.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15. В состав рабочей группы включаются представители Министерства, по согласованию представители исполнительных органов Новосибирской области и иных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органов государственной власти Новосибирской области, а также могут быть включены представители кредитных, научных, образовательных, юридических, консультационных, консалтинговых, аудиторских, ревизионных и общественных организаций.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16. В состав рабочей группы входят руководитель, заместитель руководителя, секретарь и члены рабочей группы.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Руков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одитель рабочей группы руководит деятельностью рабочей группы и несет ответственность за выполнение возложенных на нее полномочий. В период временного отсутствия руководителя рабочей группы его обязанности исполняет заместитель руководителя рабочей группы.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Секретарь рабочей группы организует подготовку материалов по повестке дня заседания рабочей группы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и направление их членам рабочей группы,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оформление протокола заседания рабочей группы.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17. Заседание рабочей группы правомочно в случае участия в заседании не менее половины ее состава.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18"/>
          <w:szCs w:val="1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18. В случае возникновения прямой или косвенной личной заинтересованности члена рабочей группы, котор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ая может привести к конфликту интересов при рассмот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рении вопроса, включенного в повестку заседания рабочей группы, он обязан до начала заседания заявить об этом. В указанном случае член рабочей группы не принимает участия в рассмотрении указанного вопроса.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19. Заседание рабочей группы проводится не позднее 20 рабочих дней со дня окончания приема заявок.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2"/>
          <w:szCs w:val="22"/>
          <w:highlight w:val="none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20. Члены рабочей группы проверяют управляющие компании на соответствие требованиям, указанным в пункте 12 Порядка, проекты на соответствие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 требованиям, предъявляемым к проектам при проведении предварительной оценки проектов в соответствии с пунктом 13 Порядка,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 а также проверяют полноту, правильность заполнения заявки, ее достоверность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18"/>
          <w:szCs w:val="1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18"/>
          <w:szCs w:val="18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21. В процессе рассмотрения заявок члены рабочей группы вправе: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</w:p>
    <w:p>
      <w:pPr>
        <w:contextualSpacing w:val="0"/>
        <w:ind w:left="0" w:righ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1) приглашать на свои заседа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ния представителей управляющей компании, задавать им вопросы.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  <w:highlight w:val="none"/>
        </w:rPr>
      </w:r>
    </w:p>
    <w:p>
      <w:pPr>
        <w:contextualSpacing w:val="0"/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2) запрашивать и получать пояснения (разъяснения, комментарии) от управляющей компании по представленным документам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в письменной форме;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</w:r>
    </w:p>
    <w:p>
      <w:pPr>
        <w:contextualSpacing w:val="0"/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3) запрашивать и получать дополнительные сведения (документы), подтверждающие достоверность информации, представленной в заявке и документах, в установленном порядке из других источников;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</w:r>
    </w:p>
    <w:p>
      <w:pPr>
        <w:contextualSpacing w:val="0"/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4) 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проводить визуальный осмотр парка с целью подтверждения достоверности представленной в документах информации.</w:t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sz w:val="22"/>
          <w:szCs w:val="22"/>
          <w:highlight w:val="none"/>
        </w:rPr>
      </w:r>
    </w:p>
    <w:p>
      <w:pPr>
        <w:contextualSpacing w:val="0"/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5) при возникновении в процессе рассмотрения заявки вопросов, требующих специальных знаний, приглашать на заседания рабочей группы экспертов, специалистов, иных заинтересованных лиц для разъяснения данных вопросов.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2"/>
          <w:szCs w:val="22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2"/>
          <w:szCs w:val="22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22. По итогам рассмотрения заявок рабочая группа принимает одно из следу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ющих решений: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1)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о включ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ении проекта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в заявку Новосибирской области;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2) об отказе во включении проекта в заявку Новосибирской области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по основаниям, указанным в пункте 23 Поряд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ка.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23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. Основаниями для принятия решения об отказе во включении проекта в заявку Новосибирской области являются: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/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1) несоответствие управляющей компании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 требованиям, установленным пунктом 12 Порядка;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2) несоответствие проекта требованиям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, предъявляемым к проектам при проведении предварительной оценки проектов, установленным пунктом 13 Порядка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, за исключением требований, указанных в подпунктах 3-5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  <w:highlight w:val="none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3) несоответствие заявки и (или) документов требованиям, определенным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пунктами 6, 7 Порядка, или непредставление (представление не в полном объеме) указанных документов;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4) установление факта недостоверности представленной управляющей компанией информации.</w:t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24. Решени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</w:rPr>
        <w:t xml:space="preserve">я рабочей группы принимаются по итогам общего голосования простым большинством голосов присутствующих на заседании членов рабочей группы. При равенстве голосов членов рабочей группы голос председательствующего на заседании рабочей группы является решающим.</w:t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strike w:val="0"/>
          <w:color w:val="000000" w:themeColor="text1"/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25. Решение рабочей группы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о результатах проведения предварительной оценки проектов в течение пяти рабочих дней со дня проведения заседания рабочей группы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оформляется протоколом заседания рабочей группы (далее – протокол).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Протокол подписывается руководителем рабочей группы (в случае его отсутствия заместителем руководителя) и всеми присутствовавшими на заседании членами рабочей группы.</w:t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  <w:r>
        <w:rPr>
          <w:rFonts w:ascii="Times New Roman" w:hAnsi="Times New Roman" w:cs="Times New Roman"/>
          <w:b w:val="0"/>
          <w:i w:val="0"/>
          <w:strike w:val="0"/>
          <w:sz w:val="18"/>
          <w:szCs w:val="1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z w:val="28"/>
          <w:szCs w:val="28"/>
        </w:rPr>
        <w:t xml:space="preserve">26. Министерство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в течение пяти рабочих дней со дня подписания протокола письменно уведомляет о результатах пре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дварительной оценки проектов все управляющие компании, представившие заявки,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по адресу, указанному в заявке (в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z w:val="28"/>
          <w:szCs w:val="28"/>
        </w:rPr>
        <w:t xml:space="preserve">электронной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форме - при наличии в заявке информации об электронном адресе управляющей компании). 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В уведомлении о принятом решении об отказе во включении проекта в заявку Новосибирской области указываются основания принятия такого решения.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27. В течение пяти рабочих дней со дня подписания  протокол размещается Министерством на официальном сайте Министерства.</w:t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sz w:val="28"/>
          <w:szCs w:val="28"/>
        </w:rPr>
      </w:r>
    </w:p>
    <w:p>
      <w:pPr>
        <w:ind w:left="0" w:firstLine="708"/>
        <w:jc w:val="both"/>
        <w:spacing w:before="0" w:beforeAutospacing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</w:rPr>
        <w:t xml:space="preserve">28. В случае если на участие в предварительной оценке проектов не подано ни одной заявки, она признается несостоявшейся.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8"/>
          <w:szCs w:val="28"/>
          <w:highlight w:val="none"/>
        </w:rPr>
        <w:t xml:space="preserve">29. 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ин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истерство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включает в заявку Новосибирской области все проекты, по которым рабочей группой принято решение о включении в заявку Новосибирской области.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30. 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8"/>
          <w:szCs w:val="28"/>
          <w:highlight w:val="none"/>
        </w:rPr>
        <w:t xml:space="preserve">В случае успешного прохождения заявкой Новосибирской области отбора субъектов Российской Федерации для предоставления субсидий из федерального бюджета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  <w:t xml:space="preserve"> бюджетам субъектов Российской Федерации на государственную поддержку малого и среднего предпринимательства в субъектах Российской Федерации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между управляющей компанией и Министерством до конца текущего  года заключается соглашение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о реализации проекта и (или) развитии парка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включающее в себя плановые показатели доли внебюджетного (частного) софинансирования в общей стои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мости проекта по созданию и (или) развитию парка, процента заполнения площади объекта резидентами на 1 января каждого года реализации федерального проекта «Малое и среднее предпринимательство и поддержка индивидуальной предпринимательской инициативы», и ин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ые показатели, а также календарный график выполнения работ и финансирования.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jc w:val="center"/>
    </w:pPr>
    <w:fldSimple w:instr="PAGE \* MERGEFORMAT">
      <w:r>
        <w:rPr>
          <w:rFonts w:ascii="Times New Roman" w:hAnsi="Times New Roman" w:eastAsia="Times New Roman" w:cs="Times New Roman"/>
          <w:sz w:val="20"/>
          <w:szCs w:val="20"/>
        </w:rPr>
        <w:t xml:space="preserve">1</w:t>
      </w:r>
    </w:fldSimple>
    <w:r>
      <w:rPr>
        <w:rFonts w:ascii="Times New Roman" w:hAnsi="Times New Roman" w:eastAsia="Times New Roman" w:cs="Times New Roman"/>
        <w:sz w:val="20"/>
        <w:szCs w:val="20"/>
      </w:rPr>
    </w:r>
    <w:r>
      <w:rPr>
        <w:rFonts w:ascii="Times New Roman" w:hAnsi="Times New Roman" w:eastAsia="Times New Roman" w:cs="Times New Roman"/>
        <w:sz w:val="20"/>
        <w:szCs w:val="20"/>
      </w:rPr>
    </w:r>
    <w:r/>
  </w:p>
  <w:p>
    <w:pPr>
      <w:pStyle w:val="71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8"/>
    <w:next w:val="868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68"/>
    <w:next w:val="868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8"/>
    <w:next w:val="868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Title"/>
    <w:basedOn w:val="868"/>
    <w:next w:val="868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link w:val="710"/>
    <w:uiPriority w:val="10"/>
    <w:rPr>
      <w:sz w:val="48"/>
      <w:szCs w:val="48"/>
    </w:rPr>
  </w:style>
  <w:style w:type="paragraph" w:styleId="712">
    <w:name w:val="Subtitle"/>
    <w:basedOn w:val="868"/>
    <w:next w:val="868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link w:val="712"/>
    <w:uiPriority w:val="11"/>
    <w:rPr>
      <w:sz w:val="24"/>
      <w:szCs w:val="24"/>
    </w:rPr>
  </w:style>
  <w:style w:type="paragraph" w:styleId="714">
    <w:name w:val="Quote"/>
    <w:basedOn w:val="868"/>
    <w:next w:val="868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8"/>
    <w:next w:val="868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paragraph" w:styleId="718">
    <w:name w:val="Header"/>
    <w:basedOn w:val="868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Header Char"/>
    <w:link w:val="718"/>
    <w:uiPriority w:val="99"/>
  </w:style>
  <w:style w:type="paragraph" w:styleId="720">
    <w:name w:val="Footer"/>
    <w:basedOn w:val="868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link w:val="720"/>
    <w:uiPriority w:val="99"/>
  </w:style>
  <w:style w:type="paragraph" w:styleId="722">
    <w:name w:val="Caption"/>
    <w:basedOn w:val="868"/>
    <w:next w:val="8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basedOn w:val="722"/>
    <w:link w:val="720"/>
    <w:uiPriority w:val="99"/>
  </w:style>
  <w:style w:type="table" w:styleId="724">
    <w:name w:val="Table Grid"/>
    <w:basedOn w:val="86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7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8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9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0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1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3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4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5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6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7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8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9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1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2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3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4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5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6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8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9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0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1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2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3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No Spacing"/>
    <w:basedOn w:val="868"/>
    <w:uiPriority w:val="1"/>
    <w:qFormat/>
    <w:pPr>
      <w:spacing w:after="0" w:line="240" w:lineRule="auto"/>
    </w:pPr>
  </w:style>
  <w:style w:type="paragraph" w:styleId="872">
    <w:name w:val="List Paragraph"/>
    <w:basedOn w:val="868"/>
    <w:uiPriority w:val="34"/>
    <w:qFormat/>
    <w:pPr>
      <w:contextualSpacing/>
      <w:ind w:left="720"/>
    </w:pPr>
  </w:style>
  <w:style w:type="character" w:styleId="873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2025-04-15T06:46:10Z</dcterms:modified>
</cp:coreProperties>
</file>